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9"/>
        <w:gridCol w:w="1577"/>
      </w:tblGrid>
      <w:tr>
        <w:trPr>
          <w:trHeight w:val="445" w:hRule="atLeast"/>
        </w:trPr>
        <w:tc>
          <w:tcPr>
            <w:tcW w:w="7915" w:type="dxa"/>
            <w:gridSpan w:val="8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88" w:lineRule="auto" w:before="44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rPr>
          <w:trHeight w:val="420" w:hRule="atLeast"/>
        </w:trPr>
        <w:tc>
          <w:tcPr>
            <w:tcW w:w="7915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line="292" w:lineRule="auto" w:before="34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TableParagraph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rPr>
          <w:trHeight w:val="203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8-01.01.000</w:t>
            </w:r>
          </w:p>
        </w:tc>
        <w:tc>
          <w:tcPr>
            <w:tcW w:w="5217" w:type="dxa"/>
            <w:gridSpan w:val="5"/>
            <w:tcBorders>
              <w:top w:val="single" w:sz="6" w:space="0" w:color="7F7F7F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restart"/>
            <w:tcBorders>
              <w:top w:val="single" w:sz="6" w:space="0" w:color="7F7F7F"/>
              <w:left w:val="nil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PENUNJANG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KABUPATEN/KOTA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01.2-02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Administrasi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Keuangan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Perangkat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8-01.0-00.0-00.01.000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BADAN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KESATUAN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BANGSA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POLITIK</w:t>
            </w: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Rp.1.526.981.868,00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single" w:sz="6" w:space="0" w:color="7F7F7F"/>
              <w:righ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/>
            <w:tcBorders>
              <w:top w:val="nil"/>
              <w:left w:val="nil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10541" w:type="dxa"/>
            <w:gridSpan w:val="10"/>
            <w:tcBorders>
              <w:top w:val="single" w:sz="12" w:space="0" w:color="2B2B2B"/>
              <w:bottom w:val="single" w:sz="6" w:space="0" w:color="7F7F7F"/>
            </w:tcBorders>
          </w:tcPr>
          <w:p>
            <w:pPr>
              <w:pStyle w:val="TableParagraph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2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74" w:right="286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6"/>
              <w:ind w:left="39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2" w:type="dxa"/>
            <w:gridSpan w:val="7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5"/>
              <w:ind w:right="4"/>
              <w:jc w:val="right"/>
              <w:rPr>
                <w:sz w:val="11"/>
              </w:rPr>
            </w:pPr>
            <w:r>
              <w:rPr>
                <w:sz w:val="11"/>
              </w:rPr>
              <w:t>Rp.1.526.981.868,00</w:t>
            </w:r>
          </w:p>
        </w:tc>
      </w:tr>
      <w:tr>
        <w:trPr>
          <w:trHeight w:val="189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8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0-00.01.2-02.001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ASN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1" w:type="dxa"/>
            <w:gridSpan w:val="10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8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5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7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81" w:right="3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7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1.523.981.868,00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1.523.981.868,00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Pegawai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1.523.981.868,00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1.125.409.068,00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Pokok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805.770.200,00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5.1.01.01.01.0001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Gaji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Pokok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805.770.200,00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Gaji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Pokok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805.770.200,00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805.770.200,00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5.1.01.01.02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Keluarga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41.396.460,00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5.1.01.01.02.0001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Keluarga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41.396.460,00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Keluarga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41.396.460,00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41.396.460,00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5.1.01.01.03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Jabatan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84.450.000,00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5.1.01.01.03.0001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Jabatan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84.450.000,00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Struktural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84.450.000,00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84.450.000,00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5.1.01.01.04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7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Tunjangan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Fungsional</w:t>
            </w:r>
            <w:r>
              <w:rPr>
                <w:spacing w:val="7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70.800.000,00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5.1.01.01.04.0001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7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Tunjangan</w:t>
            </w:r>
            <w:r>
              <w:rPr>
                <w:rFonts w:ascii="Arial"/>
                <w:i/>
                <w:spacing w:val="7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Fungsional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70.800.000,00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Fungsional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70.800.000,00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70.800.000,00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5.1.01.01.05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Fungsional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7.630.000,00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5.1.01.01.05.0001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Fungsional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Umum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7.630.000,00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Tunjangan</w:t>
            </w:r>
            <w:r>
              <w:rPr>
                <w:spacing w:val="19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20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19"/>
                <w:sz w:val="11"/>
              </w:rPr>
              <w:t> </w:t>
            </w:r>
            <w:r>
              <w:rPr>
                <w:sz w:val="11"/>
              </w:rPr>
              <w:t>Badan</w:t>
            </w:r>
            <w:r>
              <w:rPr>
                <w:spacing w:val="20"/>
                <w:sz w:val="11"/>
              </w:rPr>
              <w:t> </w:t>
            </w:r>
            <w:r>
              <w:rPr>
                <w:sz w:val="11"/>
              </w:rPr>
              <w:t>Kesatuan</w:t>
            </w:r>
            <w:r>
              <w:rPr>
                <w:spacing w:val="19"/>
                <w:sz w:val="11"/>
              </w:rPr>
              <w:t> </w:t>
            </w:r>
            <w:r>
              <w:rPr>
                <w:sz w:val="11"/>
              </w:rPr>
              <w:t>Bangsa</w:t>
            </w:r>
            <w:r>
              <w:rPr>
                <w:spacing w:val="20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7.630.000,00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7.630.000,00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5.1.01.01.06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Beras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26.505.720,00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5.1.01.01.06.0001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Beras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26.505.720,00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Beras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Kesbang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26.505.720,00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26.505.720,00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5.1.01.01.07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Tunjangan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PPh/Tunjangan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Khusus</w:t>
            </w:r>
            <w:r>
              <w:rPr>
                <w:spacing w:val="9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1.724.620,00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5.1.01.01.07.0001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Tunjangan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PPh/Tunjangan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Khusus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1.724.620,00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pph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pasal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21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Kesbang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1.724.620,00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1.724.620,00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5.1.01.01.08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Pembulatan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Gaji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8.790,00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5.1.01.01.08.0001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Pembulatan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Gaji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8.790,00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Pembulatan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8.790,00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8.790,00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5.1.01.01.09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Kesehatan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72.743.468,00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5.1.01.01.09.0001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Kesehatan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72.743.468,00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BPJS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4%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Bangsa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72.743.468,00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72.743.468,00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5.1.01.01.10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Kecelakaan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Kerja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1.797.459,00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5.1.01.01.10.0001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1.797.459,00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JKK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1.797.459,00</w:t>
            </w: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1.797.459,00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5.1.01.01.11</w:t>
            </w:r>
          </w:p>
        </w:tc>
        <w:tc>
          <w:tcPr>
            <w:tcW w:w="3154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Kematian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12.582.351,00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w:type="default" r:id="rId5"/>
          <w:type w:val="continuous"/>
          <w:pgSz w:w="11900" w:h="18700"/>
          <w:pgMar w:footer="282" w:top="800" w:bottom="480" w:left="560" w:right="54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rPr>
          <w:trHeight w:val="237" w:hRule="atLeast"/>
        </w:trPr>
        <w:tc>
          <w:tcPr>
            <w:tcW w:w="1032" w:type="dxa"/>
            <w:vMerge w:val="restart"/>
            <w:tcBorders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8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5.1.01.01.11.0001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Kematian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PNS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12.582.351,00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Tunjangan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JKM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12.582.351,00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12.582.351,00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Tambahan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Penghasilan</w:t>
            </w:r>
            <w:r>
              <w:rPr>
                <w:spacing w:val="8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ASN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284.872.800,00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Tambahan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Penghasilan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berdasarkan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ASN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284.872.800,00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5.1.01.02.01.0001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Tambahan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Penghasilan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berdasarkan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Beban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Kerja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PNS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284.872.800,00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TPP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Kesatuan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Bangsa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Politik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284.872.800,00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284.872.800,00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5.1.01.03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Tambahan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Penghasilan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berdasarkan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Pertimbangan</w:t>
            </w:r>
            <w:r>
              <w:rPr>
                <w:spacing w:val="23"/>
                <w:sz w:val="11"/>
              </w:rPr>
              <w:t> </w:t>
            </w:r>
            <w:r>
              <w:rPr>
                <w:sz w:val="11"/>
              </w:rPr>
              <w:t>Objektif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Lainnya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ASN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113.700.000,00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5.1.01.03.07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7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Honorarium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113.700.000,00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5.1.01.03.07.0001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Honorarium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Penanggungjawaban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Pengelola</w:t>
            </w:r>
            <w:r>
              <w:rPr>
                <w:rFonts w:ascii="Arial"/>
                <w:i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Keuangan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113.700.000,00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Penyediaan</w:t>
            </w:r>
            <w:r>
              <w:rPr>
                <w:rFonts w:ascii="Arial"/>
                <w:b/>
                <w:i/>
                <w:spacing w:val="-7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Gaji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pacing w:val="-1"/>
                <w:sz w:val="11"/>
              </w:rPr>
              <w:t>Tunjangan</w:t>
            </w:r>
            <w:r>
              <w:rPr>
                <w:rFonts w:ascii="Arial"/>
                <w:b/>
                <w:i/>
                <w:spacing w:val="-6"/>
                <w:sz w:val="11"/>
              </w:rPr>
              <w:t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3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pertimbangan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objektif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lainnya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kesbang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tahun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113.700.000,00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113.700.000,00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1.523.981.868,00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35" w:hRule="atLeast"/>
        </w:trPr>
        <w:tc>
          <w:tcPr>
            <w:tcW w:w="2112" w:type="dxa"/>
            <w:gridSpan w:val="2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0-00.01.2-02.005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Koordinasi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Penyusunan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Laporan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Keuangan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Akhir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Tahun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SKPD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(DAU)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rPr>
          <w:trHeight w:val="237" w:hRule="atLeast"/>
        </w:trPr>
        <w:tc>
          <w:tcPr>
            <w:tcW w:w="211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rPr>
          <w:trHeight w:val="235" w:hRule="atLeast"/>
        </w:trPr>
        <w:tc>
          <w:tcPr>
            <w:tcW w:w="10548" w:type="dxa"/>
            <w:gridSpan w:val="8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rPr>
          <w:trHeight w:val="235" w:hRule="atLeast"/>
        </w:trPr>
        <w:tc>
          <w:tcPr>
            <w:tcW w:w="1032" w:type="dxa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49" w:lineRule="auto" w:before="76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rPr>
          <w:trHeight w:val="237" w:hRule="atLeast"/>
        </w:trPr>
        <w:tc>
          <w:tcPr>
            <w:tcW w:w="1032" w:type="dxa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3.000.000,00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2.660.000,00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2.660.000,00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235.000,00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Laporan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Akhir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Tahun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Joyko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Clips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No.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260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31.000,00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Map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Platik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Snell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-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Spring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File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749.000,00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Laporan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Akhir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Tahun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189.000,00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560.000,00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681.000,00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Laporan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Akhir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Tahun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1.870,00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561.000,00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Tape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Binding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(Jilid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Lakban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Cetak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15.000,00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120.000,00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995.000,00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Laporan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Akhir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Tahun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Catridge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Canon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811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Warna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Printer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Data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Print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Hp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Dp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28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Epson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664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Black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134.000,00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268.000,00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35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340.000,00</w:t>
            </w:r>
          </w:p>
        </w:tc>
      </w:tr>
      <w:tr>
        <w:trPr>
          <w:trHeight w:val="225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Koordinasi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Penyusunan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Laporan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Akhir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Tahun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> </w:t>
            </w:r>
            <w:r>
              <w:rPr>
                <w:rFonts w:ascii="Arial"/>
                <w:b/>
                <w:i/>
                <w:w w:val="95"/>
                <w:sz w:val="11"/>
              </w:rPr>
              <w:t>SKPD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357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B3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Eselon</w:t>
            </w:r>
            <w:r>
              <w:rPr>
                <w:spacing w:val="2"/>
                <w:sz w:val="11"/>
              </w:rPr>
              <w:t> </w:t>
            </w:r>
            <w:r>
              <w:rPr>
                <w:sz w:val="11"/>
              </w:rPr>
              <w:t>IV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a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dan</w:t>
            </w:r>
            <w:r>
              <w:rPr>
                <w:spacing w:val="-26"/>
                <w:sz w:val="11"/>
              </w:rPr>
              <w:t> </w:t>
            </w:r>
            <w:r>
              <w:rPr>
                <w:sz w:val="11"/>
              </w:rPr>
              <w:t>Pejabat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Fungsional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Ahli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Pertama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140.000,00</w:t>
            </w:r>
          </w:p>
        </w:tc>
      </w:tr>
      <w:tr>
        <w:trPr>
          <w:trHeight w:val="489" w:hRule="atLeast"/>
        </w:trPr>
        <w:tc>
          <w:tcPr>
            <w:tcW w:w="1032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 w:right="33"/>
              <w:jc w:val="both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C1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Golongan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IV/III,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Pegawai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Pemerintah dengan Perjanian Kerja serta Pejabat Fungsional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Penyelia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dan Mahir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</w:tr>
      <w:tr>
        <w:trPr>
          <w:trHeight w:val="355" w:hRule="atLeast"/>
        </w:trPr>
        <w:tc>
          <w:tcPr>
            <w:tcW w:w="1032" w:type="dxa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line="254" w:lineRule="auto" w:before="29"/>
              <w:ind w:left="52"/>
              <w:rPr>
                <w:sz w:val="11"/>
              </w:rPr>
            </w:pPr>
            <w:r>
              <w:rPr>
                <w:sz w:val="11"/>
              </w:rPr>
              <w:t>Tingkat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C3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Uang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Saku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Kurang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Jam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Petugas</w:t>
            </w:r>
            <w:r>
              <w:rPr>
                <w:spacing w:val="1"/>
                <w:sz w:val="11"/>
              </w:rPr>
              <w:t> </w:t>
            </w:r>
            <w:r>
              <w:rPr>
                <w:sz w:val="11"/>
              </w:rPr>
              <w:t>Penunjang</w:t>
            </w:r>
            <w:r>
              <w:rPr>
                <w:spacing w:val="-27"/>
                <w:sz w:val="11"/>
              </w:rPr>
              <w:t> </w:t>
            </w:r>
            <w:r>
              <w:rPr>
                <w:sz w:val="11"/>
              </w:rPr>
              <w:t>Kegiatan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Kantor/Lapangan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atau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Pekerja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Harian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Lepas</w:t>
            </w:r>
          </w:p>
        </w:tc>
        <w:tc>
          <w:tcPr>
            <w:tcW w:w="111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  <w:tc>
          <w:tcPr>
            <w:tcW w:w="104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>
            <w:pPr>
              <w:pStyle w:val="TableParagraph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>
            <w:pPr>
              <w:pStyle w:val="TableParagraph"/>
              <w:spacing w:before="8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</w:tr>
      <w:tr>
        <w:trPr>
          <w:trHeight w:val="235" w:hRule="atLeast"/>
        </w:trPr>
        <w:tc>
          <w:tcPr>
            <w:tcW w:w="8964" w:type="dxa"/>
            <w:gridSpan w:val="7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>
            <w:pPr>
              <w:pStyle w:val="TableParagraph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3.000.000,00</w:t>
            </w:r>
          </w:p>
        </w:tc>
      </w:tr>
      <w:tr>
        <w:trPr>
          <w:trHeight w:val="237" w:hRule="atLeast"/>
        </w:trPr>
        <w:tc>
          <w:tcPr>
            <w:tcW w:w="8964" w:type="dxa"/>
            <w:gridSpan w:val="7"/>
            <w:tcBorders>
              <w:top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sz="6" w:space="0" w:color="7F7F7F"/>
              <w:lef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8700"/>
          <w:pgMar w:header="0" w:footer="282" w:top="560" w:bottom="480" w:left="560" w:right="540"/>
        </w:sectPr>
      </w:pPr>
    </w:p>
    <w:tbl>
      <w:tblPr>
        <w:tblW w:w="0" w:type="auto"/>
        <w:jc w:val="left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8"/>
        <w:gridCol w:w="2839"/>
        <w:gridCol w:w="594"/>
        <w:gridCol w:w="1518"/>
        <w:gridCol w:w="3156"/>
        <w:gridCol w:w="1061"/>
      </w:tblGrid>
      <w:tr>
        <w:trPr>
          <w:trHeight w:val="254" w:hRule="atLeast"/>
        </w:trPr>
        <w:tc>
          <w:tcPr>
            <w:tcW w:w="4825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2"/>
              <w:ind w:left="114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5" w:type="dxa"/>
            <w:gridSpan w:val="3"/>
            <w:vMerge w:val="restart"/>
            <w:tcBorders>
              <w:left w:val="nil"/>
              <w:bottom w:val="single" w:sz="6" w:space="0" w:color="2B2B2B"/>
              <w:right w:val="nil"/>
            </w:tcBorders>
          </w:tcPr>
          <w:p>
            <w:pPr>
              <w:pStyle w:val="TableParagraph"/>
              <w:spacing w:line="400" w:lineRule="auto" w:before="24"/>
              <w:ind w:left="1914" w:right="1893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Anggaran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400" w:lineRule="auto"/>
              <w:ind w:left="1920" w:right="1893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196812161990032007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400" w:lineRule="auto" w:before="102"/>
              <w:ind w:left="2401" w:right="2387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60" w:lineRule="atLeast" w:before="104"/>
              <w:ind w:left="2016" w:right="1994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196801041996031001</w:t>
            </w: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00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1.525.481.868,00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left="2284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1.500.000,00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92" w:type="dxa"/>
            <w:gridSpan w:val="2"/>
          </w:tcPr>
          <w:p>
            <w:pPr>
              <w:pStyle w:val="TableParagraph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</w:tcPr>
          <w:p>
            <w:pPr>
              <w:pStyle w:val="TableParagraph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392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879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bottom w:val="single" w:sz="6" w:space="0" w:color="2B2B2B"/>
            </w:tcBorders>
          </w:tcPr>
          <w:p>
            <w:pPr>
              <w:pStyle w:val="TableParagraph"/>
              <w:spacing w:before="19"/>
              <w:ind w:left="200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1.526.981.868,00</w:t>
            </w:r>
          </w:p>
        </w:tc>
        <w:tc>
          <w:tcPr>
            <w:tcW w:w="5735" w:type="dxa"/>
            <w:gridSpan w:val="3"/>
            <w:vMerge/>
            <w:tcBorders>
              <w:top w:val="nil"/>
              <w:left w:val="nil"/>
              <w:bottom w:val="single" w:sz="6" w:space="0" w:color="2B2B2B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0560" w:type="dxa"/>
            <w:gridSpan w:val="7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7" w:hRule="atLeast"/>
        </w:trPr>
        <w:tc>
          <w:tcPr>
            <w:tcW w:w="10560" w:type="dxa"/>
            <w:gridSpan w:val="7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2"/>
              <w:ind w:left="4348" w:right="4346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Daerah</w:t>
            </w:r>
          </w:p>
        </w:tc>
      </w:tr>
      <w:tr>
        <w:trPr>
          <w:trHeight w:val="237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70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664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776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30"/>
              <w:ind w:left="1329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spacing w:before="30"/>
              <w:ind w:left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1" w:hRule="atLeast"/>
        </w:trPr>
        <w:tc>
          <w:tcPr>
            <w:tcW w:w="534" w:type="dxa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spacing w:before="25"/>
              <w:ind w:left="166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97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12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56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sectPr>
      <w:pgSz w:w="11900" w:h="18700"/>
      <w:pgMar w:header="0" w:footer="282" w:top="560" w:bottom="480" w:left="5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5pt;margin-top:905.898804pt;width:59.15pt;height:9pt;mso-position-horizontal-relative:page;mso-position-vertical-relative:page;z-index:-174801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printed</w:t>
                </w:r>
                <w:r>
                  <w:rPr>
                    <w:spacing w:val="-4"/>
                  </w:rPr>
                  <w:t> </w:t>
                </w:r>
                <w:r>
                  <w:rPr/>
                  <w:t>by</w:t>
                </w:r>
                <w:r>
                  <w:rPr>
                    <w:spacing w:val="-3"/>
                  </w:rPr>
                  <w:t> </w:t>
                </w:r>
                <w:r>
                  <w:rPr/>
                  <w:t>SIMD@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pt;margin-top:905.898804pt;width:37.8pt;height:9pt;mso-position-horizontal-relative:page;mso-position-vertical-relative:page;z-index:-174796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Halaman</w:t>
                </w:r>
                <w:r>
                  <w:rPr>
                    <w:spacing w:val="-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  <w:style w:styleId="BodyText" w:type="paragraph">
    <w:name w:val="Body Text"/>
    <w:basedOn w:val="Normal"/>
    <w:uiPriority w:val="1"/>
    <w:qFormat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2023-01-24T01:10:02Z</dcterms:created>
  <dcterms:modified xsi:type="dcterms:W3CDTF">2023-01-24T01:10:02Z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